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rFonts w:ascii="Trebuchet MS" w:cs="Trebuchet MS" w:eastAsia="Trebuchet MS" w:hAnsi="Trebuchet MS"/>
          <w:b/>
          <w:bCs/>
          <w:color w:val="1A6B4A"/>
          <w:spacing w:val="20"/>
          <w:sz w:val="15"/>
          <w:szCs w:val="15"/>
        </w:rPr>
        <w:t xml:space="preserve">DIMENSION 2 — WHERE ARE WE GOING</w:t>
      </w:r>
    </w:p>
    <w:p>
      <w:pPr>
        <w:spacing w:after="60"/>
      </w:pPr>
      <w:r>
        <w:rPr>
          <w:rFonts w:ascii="Georgia" w:cs="Georgia" w:eastAsia="Georgia" w:hAnsi="Georgia"/>
          <w:color w:val="0F2244"/>
          <w:sz w:val="44"/>
          <w:szCs w:val="44"/>
        </w:rPr>
        <w:t xml:space="preserve">Tool 3 · Time-Bound Goal</w:t>
      </w:r>
    </w:p>
    <w:p>
      <w:pPr>
        <w:spacing w:after="200"/>
      </w:pPr>
      <w:r>
        <w:rPr>
          <w:rFonts w:ascii="Georgia" w:cs="Georgia" w:eastAsia="Georgia" w:hAnsi="Georgia"/>
          <w:i/>
          <w:iCs/>
          <w:color w:val="444444"/>
          <w:sz w:val="24"/>
          <w:szCs w:val="24"/>
        </w:rPr>
        <w:t xml:space="preserve">Set a Clear, Shared Goal</w:t>
      </w:r>
    </w:p>
    <w:p>
      <w:pPr>
        <w:pBdr>
          <w:bottom w:val="single" w:color="DDD8CC" w:sz="4" w:space="1"/>
        </w:pBdr>
        <w:spacing w:after="200" w:before="100"/>
      </w:pPr>
    </w:p>
    <w:p>
      <w:pPr>
        <w:spacing w:after="160" w:line="300"/>
      </w:pPr>
      <w:r>
        <w:rPr>
          <w:rFonts w:ascii="Georgia" w:cs="Georgia" w:eastAsia="Georgia" w:hAnsi="Georgia"/>
          <w:color w:val="444444"/>
          <w:sz w:val="22"/>
          <w:szCs w:val="22"/>
        </w:rPr>
        <w:t xml:space="preserve">A Time-Bound Goal is a specific, measurable organizational objective anchored to a deadline. Goals without a deadline are wishes — a time-bound goal turns strategy into urgency and gives every leader a shared answer to “what are we actually trying to achieve, and by when?”</w:t>
      </w:r>
    </w:p>
    <w:p>
      <w:pPr>
        <w:spacing w:after="100" w:before="180"/>
      </w:pPr>
      <w:r>
        <w:rPr>
          <w:rFonts w:ascii="Trebuchet MS" w:cs="Trebuchet MS" w:eastAsia="Trebuchet MS" w:hAnsi="Trebuchet MS"/>
          <w:b/>
          <w:bCs/>
          <w:color w:val="1A6B4A"/>
          <w:spacing w:val="15"/>
          <w:sz w:val="20"/>
          <w:szCs w:val="20"/>
        </w:rPr>
        <w:t xml:space="preserve">WHAT IT IS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1A6B4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A defined destination with a specific end date — not an open-ended aspiration.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1A6B4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Measurable — progress can be tracked and success confirmed at the deadline.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1A6B4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Singular in focus — one primary ambition the whole organization can rally around.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1A6B4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Stretching yet credible — ambitious enough to matter, realistic enough to believe.</w:t>
      </w:r>
    </w:p>
    <w:p>
      <w:pPr>
        <w:spacing w:after="100" w:before="180"/>
      </w:pPr>
      <w:r>
        <w:rPr>
          <w:rFonts w:ascii="Trebuchet MS" w:cs="Trebuchet MS" w:eastAsia="Trebuchet MS" w:hAnsi="Trebuchet MS"/>
          <w:b/>
          <w:bCs/>
          <w:color w:val="1A6B4A"/>
          <w:spacing w:val="15"/>
          <w:sz w:val="20"/>
          <w:szCs w:val="20"/>
        </w:rPr>
        <w:t xml:space="preserve">WHY IT MATTERS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1A6B4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Creates urgency and momentum that open-ended goals never do.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1A6B4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Aligns every department around one common North Star, reducing siloed effort.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1A6B4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Enables real progress tracking — without a deadline there's no way to know if you're on pace.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1A6B4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Forces prioritization: what must we do now, and what must we say no to?</w:t>
      </w:r>
    </w:p>
    <w:p>
      <w:pPr>
        <w:spacing w:after="100" w:before="180"/>
      </w:pPr>
      <w:r>
        <w:rPr>
          <w:rFonts w:ascii="Trebuchet MS" w:cs="Trebuchet MS" w:eastAsia="Trebuchet MS" w:hAnsi="Trebuchet MS"/>
          <w:b/>
          <w:bCs/>
          <w:color w:val="1A6B4A"/>
          <w:spacing w:val="15"/>
          <w:sz w:val="20"/>
          <w:szCs w:val="20"/>
        </w:rPr>
        <w:t xml:space="preserve">HOW TO BUILD IT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1A6B4A"/>
          <w:sz w:val="21"/>
          <w:szCs w:val="21"/>
        </w:rPr>
        <w:t xml:space="preserve">1.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Define the destination: What does winning look like for this company right now?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1A6B4A"/>
          <w:sz w:val="21"/>
          <w:szCs w:val="21"/>
        </w:rPr>
        <w:t xml:space="preserve">2.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Set a deadline that stretches the organization without breaking credibility.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1A6B4A"/>
          <w:sz w:val="21"/>
          <w:szCs w:val="21"/>
        </w:rPr>
        <w:t xml:space="preserve">3.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Make it specific and measurable — name the number, the milestone, the outcome.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1A6B4A"/>
          <w:sz w:val="21"/>
          <w:szCs w:val="21"/>
        </w:rPr>
        <w:t xml:space="preserve">4.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Pressure-test it with the leadership team: is it resourced? What could go wrong?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1A6B4A"/>
          <w:sz w:val="21"/>
          <w:szCs w:val="21"/>
        </w:rPr>
        <w:t xml:space="preserve">5.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Connect it explicitly to Core Purpose and Vision so people understand why it matters.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1A6B4A"/>
          <w:sz w:val="21"/>
          <w:szCs w:val="21"/>
        </w:rPr>
        <w:t xml:space="preserve">6.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Break it into milestones with owners, and review progress on a regular cadence.</w:t>
      </w:r>
    </w:p>
    <w:p>
      <w:pPr>
        <w:spacing w:after="0" w:before="200"/>
      </w:pPr>
    </w:p>
    <w:tbl>
      <w:tblPr>
        <w:tblW w:type="dxa" w:w="9350"/>
        <w:tblBorders>
          <w:top w:val="single" w:color="1A6B4A" w:sz="4"/>
          <w:left w:val="single" w:color="1A6B4A" w:sz="4"/>
          <w:bottom w:val="single" w:color="1A6B4A" w:sz="4"/>
          <w:right w:val="single" w:color="1A6B4A" w:sz="4"/>
          <w:insideH w:val="none" w:color="FFFFFF" w:sz="0"/>
          <w:insideV w:val="none" w:color="FFFFFF" w:sz="0"/>
        </w:tblBorders>
      </w:tblPr>
      <w:tblGrid>
        <w:gridCol w:w="9350"/>
      </w:tblGrid>
      <w:tr>
        <w:tc>
          <w:tcPr>
            <w:tcW w:type="dxa" w:w="9350"/>
            <w:shd w:fill="F8F5EF" w:color="auto" w:val="clear"/>
            <w:tcMar>
              <w:top w:type="dxa" w:w="200"/>
              <w:left w:type="dxa" w:w="260"/>
              <w:bottom w:type="dxa" w:w="200"/>
              <w:right w:type="dxa" w:w="260"/>
            </w:tcMar>
            <w:vAlign w:val="center"/>
          </w:tcPr>
          <w:p>
            <w:pPr>
              <w:spacing w:after="40"/>
            </w:pPr>
            <w:r>
              <w:rPr>
                <w:rFonts w:ascii="Trebuchet MS" w:cs="Trebuchet MS" w:eastAsia="Trebuchet MS" w:hAnsi="Trebuchet MS"/>
                <w:b/>
                <w:bCs/>
                <w:color w:val="1A6B4A"/>
                <w:spacing w:val="20"/>
                <w:sz w:val="15"/>
                <w:szCs w:val="15"/>
              </w:rPr>
              <w:t xml:space="preserve">KEY QUESTION</w:t>
            </w:r>
          </w:p>
          <w:p>
            <w:r>
              <w:rPr>
                <w:rFonts w:ascii="Georgia" w:cs="Georgia" w:eastAsia="Georgia" w:hAnsi="Georgia"/>
                <w:i/>
                <w:iCs/>
                <w:color w:val="0F2244"/>
                <w:sz w:val="24"/>
                <w:szCs w:val="24"/>
              </w:rPr>
              <w:t xml:space="preserve">Where specifically are we trying to be in 3–5 years — and does every leader say the same thing?</w:t>
            </w:r>
          </w:p>
        </w:tc>
      </w:tr>
    </w:tbl>
    <w:p>
      <w:pPr>
        <w:pBdr>
          <w:top w:val="single" w:color="DDD8CC" w:sz="4" w:space="6"/>
        </w:pBdr>
        <w:spacing w:before="260"/>
      </w:pPr>
      <w:r>
        <w:rPr>
          <w:rFonts w:ascii="Trebuchet MS" w:cs="Trebuchet MS" w:eastAsia="Trebuchet MS" w:hAnsi="Trebuchet MS"/>
          <w:b/>
          <w:bCs/>
          <w:color w:val="0F2244"/>
          <w:spacing w:val="10"/>
          <w:sz w:val="15"/>
          <w:szCs w:val="15"/>
        </w:rPr>
        <w:t xml:space="preserve">ALIGN</w:t>
      </w:r>
      <w:r>
        <w:rPr>
          <w:rFonts w:ascii="Trebuchet MS" w:cs="Trebuchet MS" w:eastAsia="Trebuchet MS" w:hAnsi="Trebuchet MS"/>
          <w:b/>
          <w:bCs/>
          <w:color w:val="C49A22"/>
          <w:spacing w:val="10"/>
          <w:sz w:val="15"/>
          <w:szCs w:val="15"/>
        </w:rPr>
        <w:t xml:space="preserve">TO</w:t>
      </w:r>
      <w:r>
        <w:rPr>
          <w:rFonts w:ascii="Trebuchet MS" w:cs="Trebuchet MS" w:eastAsia="Trebuchet MS" w:hAnsi="Trebuchet MS"/>
          <w:b/>
          <w:bCs/>
          <w:color w:val="0F2244"/>
          <w:spacing w:val="10"/>
          <w:sz w:val="15"/>
          <w:szCs w:val="15"/>
        </w:rPr>
        <w:t xml:space="preserve">WIN</w:t>
      </w:r>
      <w:r>
        <w:rPr>
          <w:rFonts w:ascii="Trebuchet MS" w:cs="Trebuchet MS" w:eastAsia="Trebuchet MS" w:hAnsi="Trebuchet MS"/>
          <w:color w:val="777777"/>
          <w:spacing w:val="6"/>
          <w:sz w:val="15"/>
          <w:szCs w:val="15"/>
        </w:rPr>
        <w:t xml:space="preserve">   ·   Tool 3: Time-Bound Goal   ·   alignto-win.com</w:t>
      </w:r>
    </w:p>
    <w:sectPr>
      <w:pgSz w:w="12240" w:h="15840" w:orient="portrait"/>
      <w:pgMar w:top="720" w:right="1000" w:bottom="72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1A1A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2026-07-02T19:42:11.238Z</dcterms:created>
  <dcterms:modified xsi:type="dcterms:W3CDTF">2026-07-02T19:42:11.238Z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