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rFonts w:ascii="Trebuchet MS" w:cs="Trebuchet MS" w:eastAsia="Trebuchet MS" w:hAnsi="Trebuchet MS"/>
          <w:b/>
          <w:bCs/>
          <w:color w:val="1A6B4A"/>
          <w:spacing w:val="20"/>
          <w:sz w:val="15"/>
          <w:szCs w:val="15"/>
        </w:rPr>
        <w:t xml:space="preserve">DIMENSION 2 — WHERE ARE WE GOING</w:t>
      </w:r>
    </w:p>
    <w:p>
      <w:pPr>
        <w:spacing w:after="60"/>
      </w:pPr>
      <w:r>
        <w:rPr>
          <w:rFonts w:ascii="Georgia" w:cs="Georgia" w:eastAsia="Georgia" w:hAnsi="Georgia"/>
          <w:color w:val="0F2244"/>
          <w:sz w:val="44"/>
          <w:szCs w:val="44"/>
        </w:rPr>
        <w:t xml:space="preserve">Tool 4 · Inspirational Vision</w:t>
      </w:r>
    </w:p>
    <w:p>
      <w:pPr>
        <w:spacing w:after="200"/>
      </w:pPr>
      <w:r>
        <w:rPr>
          <w:rFonts w:ascii="Georgia" w:cs="Georgia" w:eastAsia="Georgia" w:hAnsi="Georgia"/>
          <w:i/>
          <w:iCs/>
          <w:color w:val="444444"/>
          <w:sz w:val="24"/>
          <w:szCs w:val="24"/>
        </w:rPr>
        <w:t xml:space="preserve">Paint the Picture of Winning</w:t>
      </w:r>
    </w:p>
    <w:p>
      <w:pPr>
        <w:pBdr>
          <w:bottom w:val="single" w:color="DDD8CC" w:sz="4" w:space="1"/>
        </w:pBdr>
        <w:spacing w:after="200" w:before="100"/>
      </w:pPr>
    </w:p>
    <w:p>
      <w:pPr>
        <w:spacing w:after="160" w:line="300"/>
      </w:pPr>
      <w:r>
        <w:rPr>
          <w:rFonts w:ascii="Georgia" w:cs="Georgia" w:eastAsia="Georgia" w:hAnsi="Georgia"/>
          <w:color w:val="444444"/>
          <w:sz w:val="22"/>
          <w:szCs w:val="22"/>
        </w:rPr>
        <w:t xml:space="preserve">A Time-Bound Inspirational Vision is a vivid, concrete picture of what your company will have achieved within a specific future window — typically 3 to 10 years. Where the Time-Bound Goal states the target, the Vision makes it real enough that people can see it and want it.</w:t>
      </w:r>
    </w:p>
    <w:p>
      <w:pPr>
        <w:spacing w:after="100" w:before="180"/>
      </w:pPr>
      <w:r>
        <w:rPr>
          <w:rFonts w:ascii="Trebuchet MS" w:cs="Trebuchet MS" w:eastAsia="Trebuchet MS" w:hAnsi="Trebuchet MS"/>
          <w:b/>
          <w:bCs/>
          <w:color w:val="1A6B4A"/>
          <w:spacing w:val="15"/>
          <w:sz w:val="20"/>
          <w:szCs w:val="20"/>
        </w:rPr>
        <w:t xml:space="preserve">WHAT IT IS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6B4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Specific and vivid — a tangible destination, not a vague direction like “be the best.”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6B4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Time-bound — anchored to a clear target year.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6B4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Ambitious yet believable — it stretches the organization while staying credible.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6B4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Aligned to purpose and values, so it feels true rather than invented.</w:t>
      </w:r>
    </w:p>
    <w:p>
      <w:pPr>
        <w:spacing w:after="100" w:before="180"/>
      </w:pPr>
      <w:r>
        <w:rPr>
          <w:rFonts w:ascii="Trebuchet MS" w:cs="Trebuchet MS" w:eastAsia="Trebuchet MS" w:hAnsi="Trebuchet MS"/>
          <w:b/>
          <w:bCs/>
          <w:color w:val="1A6B4A"/>
          <w:spacing w:val="15"/>
          <w:sz w:val="20"/>
          <w:szCs w:val="20"/>
        </w:rPr>
        <w:t xml:space="preserve">WHY IT MATTERS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6B4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Provides strategic clarity so teams stop pursuing disconnected priorities.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6B4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Drives alignment by acting as an organizational magnet across departments.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6B4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Fuels engagement — people commit more fully to a future they can picture.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6B4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Attracts talent, customers, and investors who want to be part of something going somewhere.</w:t>
      </w:r>
    </w:p>
    <w:p>
      <w:pPr>
        <w:spacing w:after="100" w:before="180"/>
      </w:pPr>
      <w:r>
        <w:rPr>
          <w:rFonts w:ascii="Trebuchet MS" w:cs="Trebuchet MS" w:eastAsia="Trebuchet MS" w:hAnsi="Trebuchet MS"/>
          <w:b/>
          <w:bCs/>
          <w:color w:val="1A6B4A"/>
          <w:spacing w:val="15"/>
          <w:sz w:val="20"/>
          <w:szCs w:val="20"/>
        </w:rPr>
        <w:t xml:space="preserve">HOW TO BUILD IT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1A6B4A"/>
          <w:sz w:val="21"/>
          <w:szCs w:val="21"/>
        </w:rPr>
        <w:t xml:space="preserve">1.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Clarify purpose and values first, so the vision is rooted in who you are.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1A6B4A"/>
          <w:sz w:val="21"/>
          <w:szCs w:val="21"/>
        </w:rPr>
        <w:t xml:space="preserve">2.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Assess your current reality honestly — strengths, weaknesses, and the gap to close.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1A6B4A"/>
          <w:sz w:val="21"/>
          <w:szCs w:val="21"/>
        </w:rPr>
        <w:t xml:space="preserve">3.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Identify 2–4 critical strategic bets the company must win to get there.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1A6B4A"/>
          <w:sz w:val="21"/>
          <w:szCs w:val="21"/>
        </w:rPr>
        <w:t xml:space="preserve">4.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Draft the destination: what's achieved, who's impacted, and by what date — make it vivid.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1A6B4A"/>
          <w:sz w:val="21"/>
          <w:szCs w:val="21"/>
        </w:rPr>
        <w:t xml:space="preserve">5.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Test the draft for both inspiration (does it excite people?) and credibility (do they believe it?).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1A6B4A"/>
          <w:sz w:val="21"/>
          <w:szCs w:val="21"/>
        </w:rPr>
        <w:t xml:space="preserve">6.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Cascade it into multi-year goals and communicate it relentlessly across every channel.</w:t>
      </w:r>
    </w:p>
    <w:p>
      <w:pPr>
        <w:spacing w:after="0" w:before="200"/>
      </w:pPr>
    </w:p>
    <w:tbl>
      <w:tblPr>
        <w:tblW w:type="dxa" w:w="9350"/>
        <w:tblBorders>
          <w:top w:val="single" w:color="1A6B4A" w:sz="4"/>
          <w:left w:val="single" w:color="1A6B4A" w:sz="4"/>
          <w:bottom w:val="single" w:color="1A6B4A" w:sz="4"/>
          <w:right w:val="single" w:color="1A6B4A" w:sz="4"/>
          <w:insideH w:val="none" w:color="FFFFFF" w:sz="0"/>
          <w:insideV w:val="none" w:color="FFFFFF" w:sz="0"/>
        </w:tblBorders>
      </w:tblPr>
      <w:tblGrid>
        <w:gridCol w:w="9350"/>
      </w:tblGrid>
      <w:tr>
        <w:tc>
          <w:tcPr>
            <w:tcW w:type="dxa" w:w="9350"/>
            <w:shd w:fill="F8F5EF" w:color="auto" w:val="clear"/>
            <w:tcMar>
              <w:top w:type="dxa" w:w="200"/>
              <w:left w:type="dxa" w:w="260"/>
              <w:bottom w:type="dxa" w:w="200"/>
              <w:right w:type="dxa" w:w="260"/>
            </w:tcMar>
            <w:vAlign w:val="center"/>
          </w:tcPr>
          <w:p>
            <w:pPr>
              <w:spacing w:after="40"/>
            </w:pPr>
            <w:r>
              <w:rPr>
                <w:rFonts w:ascii="Trebuchet MS" w:cs="Trebuchet MS" w:eastAsia="Trebuchet MS" w:hAnsi="Trebuchet MS"/>
                <w:b/>
                <w:bCs/>
                <w:color w:val="1A6B4A"/>
                <w:spacing w:val="20"/>
                <w:sz w:val="15"/>
                <w:szCs w:val="15"/>
              </w:rPr>
              <w:t xml:space="preserve">KEY QUESTION</w:t>
            </w:r>
          </w:p>
          <w:p>
            <w:r>
              <w:rPr>
                <w:rFonts w:ascii="Georgia" w:cs="Georgia" w:eastAsia="Georgia" w:hAnsi="Georgia"/>
                <w:i/>
                <w:iCs/>
                <w:color w:val="0F2244"/>
                <w:sz w:val="24"/>
                <w:szCs w:val="24"/>
              </w:rPr>
              <w:t xml:space="preserve">What does winning actually look like for our company — and can every leader describe it vividly?</w:t>
            </w:r>
          </w:p>
        </w:tc>
      </w:tr>
    </w:tbl>
    <w:p>
      <w:pPr>
        <w:pBdr>
          <w:top w:val="single" w:color="DDD8CC" w:sz="4" w:space="6"/>
        </w:pBdr>
        <w:spacing w:before="260"/>
      </w:pPr>
      <w:r>
        <w:rPr>
          <w:rFonts w:ascii="Trebuchet MS" w:cs="Trebuchet MS" w:eastAsia="Trebuchet MS" w:hAnsi="Trebuchet MS"/>
          <w:b/>
          <w:bCs/>
          <w:color w:val="0F2244"/>
          <w:spacing w:val="10"/>
          <w:sz w:val="15"/>
          <w:szCs w:val="15"/>
        </w:rPr>
        <w:t xml:space="preserve">ALIGN</w:t>
      </w:r>
      <w:r>
        <w:rPr>
          <w:rFonts w:ascii="Trebuchet MS" w:cs="Trebuchet MS" w:eastAsia="Trebuchet MS" w:hAnsi="Trebuchet MS"/>
          <w:b/>
          <w:bCs/>
          <w:color w:val="C49A22"/>
          <w:spacing w:val="10"/>
          <w:sz w:val="15"/>
          <w:szCs w:val="15"/>
        </w:rPr>
        <w:t xml:space="preserve">TO</w:t>
      </w:r>
      <w:r>
        <w:rPr>
          <w:rFonts w:ascii="Trebuchet MS" w:cs="Trebuchet MS" w:eastAsia="Trebuchet MS" w:hAnsi="Trebuchet MS"/>
          <w:b/>
          <w:bCs/>
          <w:color w:val="0F2244"/>
          <w:spacing w:val="10"/>
          <w:sz w:val="15"/>
          <w:szCs w:val="15"/>
        </w:rPr>
        <w:t xml:space="preserve">WIN</w:t>
      </w:r>
      <w:r>
        <w:rPr>
          <w:rFonts w:ascii="Trebuchet MS" w:cs="Trebuchet MS" w:eastAsia="Trebuchet MS" w:hAnsi="Trebuchet MS"/>
          <w:color w:val="777777"/>
          <w:spacing w:val="6"/>
          <w:sz w:val="15"/>
          <w:szCs w:val="15"/>
        </w:rPr>
        <w:t xml:space="preserve">   ·   Tool 4: Inspirational Vision   ·   alignto-win.com</w:t>
      </w:r>
    </w:p>
    <w:sectPr>
      <w:pgSz w:w="12240" w:h="15840" w:orient="portrait"/>
      <w:pgMar w:top="720" w:right="1000" w:bottom="72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2026-07-02T19:42:11.269Z</dcterms:created>
  <dcterms:modified xsi:type="dcterms:W3CDTF">2026-07-02T19:42:11.269Z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